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CDF6" w14:textId="13D89FB3" w:rsidR="002A15DB" w:rsidRPr="002A15DB" w:rsidRDefault="002A15DB" w:rsidP="002A15D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it-IT"/>
        </w:rPr>
      </w:pPr>
      <w:r w:rsidRPr="002A15DB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it-IT"/>
        </w:rPr>
        <w:t>Applicazioni di comunicazione digitale</w:t>
      </w:r>
    </w:p>
    <w:p w14:paraId="4A5E4695" w14:textId="77777777" w:rsidR="002A15DB" w:rsidRDefault="002A15DB" w:rsidP="002A15D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14:paraId="5E6598DC" w14:textId="7A3124D0" w:rsidR="002A15DB" w:rsidRPr="002A15DB" w:rsidRDefault="002A15DB" w:rsidP="002A15D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2A15DB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Lo sviluppo di una campagna di comunicazione data </w:t>
      </w:r>
      <w:proofErr w:type="spellStart"/>
      <w:r w:rsidRPr="002A15DB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driven</w:t>
      </w:r>
      <w:proofErr w:type="spellEnd"/>
      <w:r w:rsidRPr="002A15DB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può presentare differenti livelli di complessità e differenti obiettivi. Attraverso alcune case history vedremo come si sviluppa il processo, gli attori coinvolti, le sfide e i risultati ottenuti.</w:t>
      </w:r>
    </w:p>
    <w:p w14:paraId="66D66927" w14:textId="77777777" w:rsidR="00E920F0" w:rsidRDefault="00E920F0"/>
    <w:sectPr w:rsidR="00E92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DB"/>
    <w:rsid w:val="002A15DB"/>
    <w:rsid w:val="00E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2C02"/>
  <w15:chartTrackingRefBased/>
  <w15:docId w15:val="{F2C0B20B-4022-4472-B6F3-B0DD1FB1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Ferro</dc:creator>
  <cp:keywords/>
  <dc:description/>
  <cp:lastModifiedBy>Jayme Ferro</cp:lastModifiedBy>
  <cp:revision>1</cp:revision>
  <dcterms:created xsi:type="dcterms:W3CDTF">2020-10-09T15:48:00Z</dcterms:created>
  <dcterms:modified xsi:type="dcterms:W3CDTF">2020-10-09T15:49:00Z</dcterms:modified>
</cp:coreProperties>
</file>